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6631" w14:textId="38363F11" w:rsidR="00AB7D95" w:rsidRPr="00652657" w:rsidRDefault="00AB7D95" w:rsidP="0065265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</w:rPr>
      </w:pPr>
      <w:r w:rsidRPr="00364C01">
        <w:rPr>
          <w:rFonts w:ascii="Times New Roman" w:hAnsi="Times New Roman" w:cs="Times New Roman"/>
          <w:b/>
          <w:bCs/>
        </w:rPr>
        <w:t>Ethical Approval</w:t>
      </w:r>
    </w:p>
    <w:p w14:paraId="2CA87901" w14:textId="3BC620B4" w:rsidR="00AB7D95" w:rsidRPr="00AB7D95" w:rsidRDefault="00AB7D95" w:rsidP="00652657">
      <w:pPr>
        <w:spacing w:line="480" w:lineRule="auto"/>
        <w:ind w:firstLine="720"/>
        <w:rPr>
          <w:rFonts w:ascii="Times New Roman" w:hAnsi="Times New Roman" w:cs="Times New Roman"/>
          <w:lang w:val="en-US"/>
        </w:rPr>
      </w:pPr>
      <w:r w:rsidRPr="00AB7D95">
        <w:rPr>
          <w:rFonts w:ascii="Times New Roman" w:hAnsi="Times New Roman" w:cs="Times New Roman"/>
          <w:lang w:val="en-US"/>
        </w:rPr>
        <w:t>Ethical approval was granted by the Thompson Rivers University Research Ethics Board</w:t>
      </w:r>
    </w:p>
    <w:p w14:paraId="4656BDE5" w14:textId="2F139C39" w:rsidR="00AB7D95" w:rsidRDefault="00AB7D95" w:rsidP="00652657">
      <w:pPr>
        <w:spacing w:line="480" w:lineRule="auto"/>
        <w:rPr>
          <w:rFonts w:ascii="Times New Roman" w:hAnsi="Times New Roman" w:cs="Times New Roman"/>
          <w:lang w:val="en-US"/>
        </w:rPr>
      </w:pPr>
      <w:r w:rsidRPr="00AB7D95">
        <w:rPr>
          <w:rFonts w:ascii="Times New Roman" w:hAnsi="Times New Roman" w:cs="Times New Roman"/>
          <w:lang w:val="en-US"/>
        </w:rPr>
        <w:t>and Biosafety approval was granted by the Thompson Rivers University Biosafety Committee. All</w:t>
      </w:r>
      <w:r>
        <w:rPr>
          <w:rFonts w:ascii="Times New Roman" w:hAnsi="Times New Roman" w:cs="Times New Roman"/>
          <w:lang w:val="en-US"/>
        </w:rPr>
        <w:t xml:space="preserve"> </w:t>
      </w:r>
      <w:r w:rsidRPr="00AB7D95">
        <w:rPr>
          <w:rFonts w:ascii="Times New Roman" w:hAnsi="Times New Roman" w:cs="Times New Roman"/>
          <w:lang w:val="en-US"/>
        </w:rPr>
        <w:t>participants gave their written and informed consent, both after the experimental procedure and</w:t>
      </w:r>
      <w:r>
        <w:rPr>
          <w:rFonts w:ascii="Times New Roman" w:hAnsi="Times New Roman" w:cs="Times New Roman"/>
          <w:lang w:val="en-US"/>
        </w:rPr>
        <w:t xml:space="preserve"> </w:t>
      </w:r>
      <w:r w:rsidRPr="00AB7D95">
        <w:rPr>
          <w:rFonts w:ascii="Times New Roman" w:hAnsi="Times New Roman" w:cs="Times New Roman"/>
          <w:lang w:val="en-US"/>
        </w:rPr>
        <w:t>risks had been explained to them and prior to the start of testing.</w:t>
      </w:r>
      <w:r>
        <w:rPr>
          <w:rFonts w:ascii="Times New Roman" w:hAnsi="Times New Roman" w:cs="Times New Roman"/>
          <w:lang w:val="en-US"/>
        </w:rPr>
        <w:t xml:space="preserve"> </w:t>
      </w:r>
    </w:p>
    <w:p w14:paraId="1E5D108C" w14:textId="73509C87" w:rsidR="00AB7D95" w:rsidRDefault="00AB7D95" w:rsidP="00652657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4E47FF8A" w14:textId="01373E71" w:rsidR="00AB7D95" w:rsidRPr="00364C01" w:rsidRDefault="00AB7D95" w:rsidP="0065265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364C01">
        <w:rPr>
          <w:rFonts w:ascii="Times New Roman" w:hAnsi="Times New Roman" w:cs="Times New Roman"/>
          <w:b/>
          <w:bCs/>
          <w:lang w:val="en-US"/>
        </w:rPr>
        <w:t>Study Participants</w:t>
      </w:r>
    </w:p>
    <w:p w14:paraId="1560EF7A" w14:textId="443ED46E" w:rsidR="00473A67" w:rsidRDefault="00AB7D95" w:rsidP="00652657">
      <w:pPr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Ten healthy participants including 6 males and 4 females between 2</w:t>
      </w:r>
      <w:r w:rsidR="00473A67">
        <w:rPr>
          <w:rFonts w:ascii="Times New Roman" w:hAnsi="Times New Roman" w:cs="Times New Roman"/>
          <w:lang w:val="en-US"/>
        </w:rPr>
        <w:t xml:space="preserve">1 </w:t>
      </w:r>
      <w:r>
        <w:rPr>
          <w:rFonts w:ascii="Times New Roman" w:hAnsi="Times New Roman" w:cs="Times New Roman"/>
          <w:lang w:val="en-US"/>
        </w:rPr>
        <w:t xml:space="preserve">– </w:t>
      </w:r>
      <w:r w:rsidR="00473A67">
        <w:rPr>
          <w:rFonts w:ascii="Times New Roman" w:hAnsi="Times New Roman" w:cs="Times New Roman"/>
          <w:lang w:val="en-US"/>
        </w:rPr>
        <w:t xml:space="preserve">23 </w:t>
      </w:r>
      <w:r>
        <w:rPr>
          <w:rFonts w:ascii="Times New Roman" w:hAnsi="Times New Roman" w:cs="Times New Roman"/>
          <w:lang w:val="en-US"/>
        </w:rPr>
        <w:t xml:space="preserve">years of age were recruited to participate in this study. </w:t>
      </w:r>
      <w:r w:rsidR="00473A67">
        <w:rPr>
          <w:rFonts w:ascii="Times New Roman" w:hAnsi="Times New Roman" w:cs="Times New Roman"/>
          <w:lang w:val="en-US"/>
        </w:rPr>
        <w:t xml:space="preserve">Mean participant age was 21.5 </w:t>
      </w:r>
      <w:r w:rsidR="00473A67" w:rsidRPr="00473A67">
        <w:rPr>
          <w:rFonts w:ascii="Times New Roman" w:hAnsi="Times New Roman" w:cs="Times New Roman"/>
          <w:color w:val="202122"/>
          <w:shd w:val="clear" w:color="auto" w:fill="FDFDFD"/>
        </w:rPr>
        <w:t>±</w:t>
      </w:r>
      <w:r w:rsidR="00473A67" w:rsidRPr="00473A67">
        <w:rPr>
          <w:rFonts w:ascii="Times New Roman" w:hAnsi="Times New Roman" w:cs="Times New Roman"/>
          <w:color w:val="202122"/>
          <w:shd w:val="clear" w:color="auto" w:fill="FDFDFD"/>
        </w:rPr>
        <w:t xml:space="preserve"> </w:t>
      </w:r>
      <w:r w:rsidR="00473A67">
        <w:rPr>
          <w:rFonts w:ascii="Times New Roman" w:hAnsi="Times New Roman" w:cs="Times New Roman"/>
          <w:color w:val="202122"/>
          <w:shd w:val="clear" w:color="auto" w:fill="FDFDFD"/>
        </w:rPr>
        <w:t xml:space="preserve">STD, height was ADD, and weight was ADD. Recruitment was of Thompson Rivers University Students. </w:t>
      </w:r>
      <w:r w:rsidR="00473A67">
        <w:rPr>
          <w:rFonts w:ascii="Times New Roman" w:hAnsi="Times New Roman" w:cs="Times New Roman"/>
          <w:lang w:val="en-US"/>
        </w:rPr>
        <w:t>Participants were screened prior to testing to ensure they met inclusion criteria. All</w:t>
      </w:r>
      <w:r w:rsidR="00473A67">
        <w:rPr>
          <w:rFonts w:ascii="Times New Roman" w:hAnsi="Times New Roman" w:cs="Times New Roman"/>
          <w:lang w:val="en-US"/>
        </w:rPr>
        <w:t xml:space="preserve"> </w:t>
      </w:r>
      <w:r w:rsidR="00473A67">
        <w:rPr>
          <w:rFonts w:ascii="Times New Roman" w:hAnsi="Times New Roman" w:cs="Times New Roman"/>
          <w:lang w:val="en-US"/>
        </w:rPr>
        <w:t>participants had no blood or</w:t>
      </w:r>
      <w:r w:rsidR="00473A67">
        <w:rPr>
          <w:rFonts w:ascii="Times New Roman" w:hAnsi="Times New Roman" w:cs="Times New Roman"/>
          <w:lang w:val="en-US"/>
        </w:rPr>
        <w:t xml:space="preserve"> </w:t>
      </w:r>
      <w:r w:rsidR="00473A67">
        <w:rPr>
          <w:rFonts w:ascii="Times New Roman" w:hAnsi="Times New Roman" w:cs="Times New Roman"/>
          <w:lang w:val="en-US"/>
        </w:rPr>
        <w:t>platelet/bleeding disorders, and no known cardiac diseases and/or cardiovascular risk factors. None</w:t>
      </w:r>
      <w:r w:rsidR="00473A67">
        <w:rPr>
          <w:rFonts w:ascii="Times New Roman" w:hAnsi="Times New Roman" w:cs="Times New Roman"/>
          <w:lang w:val="en-US"/>
        </w:rPr>
        <w:t xml:space="preserve"> </w:t>
      </w:r>
      <w:r w:rsidR="00473A67">
        <w:rPr>
          <w:rFonts w:ascii="Times New Roman" w:hAnsi="Times New Roman" w:cs="Times New Roman"/>
          <w:lang w:val="en-US"/>
        </w:rPr>
        <w:t>of the participants were hypertensive, smokers, diabetics, or had other known metabolic diseases.</w:t>
      </w:r>
      <w:r w:rsidR="00473A67">
        <w:rPr>
          <w:rFonts w:ascii="Times New Roman" w:hAnsi="Times New Roman" w:cs="Times New Roman"/>
          <w:lang w:val="en-US"/>
        </w:rPr>
        <w:t xml:space="preserve"> </w:t>
      </w:r>
      <w:r w:rsidR="00473A67">
        <w:rPr>
          <w:rFonts w:ascii="Times New Roman" w:hAnsi="Times New Roman" w:cs="Times New Roman"/>
          <w:lang w:val="en-US"/>
        </w:rPr>
        <w:t>The participants were not taking medication or being treated for any disease, did not experience</w:t>
      </w:r>
      <w:r w:rsidR="00473A67">
        <w:rPr>
          <w:rFonts w:ascii="Times New Roman" w:hAnsi="Times New Roman" w:cs="Times New Roman"/>
          <w:lang w:val="en-US"/>
        </w:rPr>
        <w:t xml:space="preserve"> </w:t>
      </w:r>
      <w:r w:rsidR="00473A67">
        <w:rPr>
          <w:rFonts w:ascii="Times New Roman" w:hAnsi="Times New Roman" w:cs="Times New Roman"/>
          <w:lang w:val="en-US"/>
        </w:rPr>
        <w:t xml:space="preserve">aversion to the sight of blood and/or needles, and were over 19 years of age and under </w:t>
      </w:r>
      <w:r w:rsidR="00473A67">
        <w:rPr>
          <w:rFonts w:ascii="Times New Roman" w:hAnsi="Times New Roman" w:cs="Times New Roman"/>
          <w:lang w:val="en-US"/>
        </w:rPr>
        <w:t>4</w:t>
      </w:r>
      <w:r w:rsidR="00473A67">
        <w:rPr>
          <w:rFonts w:ascii="Times New Roman" w:hAnsi="Times New Roman" w:cs="Times New Roman"/>
          <w:lang w:val="en-US"/>
        </w:rPr>
        <w:t>0 years of</w:t>
      </w:r>
      <w:r w:rsidR="00473A67">
        <w:rPr>
          <w:rFonts w:ascii="Times New Roman" w:hAnsi="Times New Roman" w:cs="Times New Roman"/>
          <w:lang w:val="en-US"/>
        </w:rPr>
        <w:t xml:space="preserve"> </w:t>
      </w:r>
      <w:r w:rsidR="00473A67">
        <w:rPr>
          <w:rFonts w:ascii="Times New Roman" w:hAnsi="Times New Roman" w:cs="Times New Roman"/>
          <w:lang w:val="en-US"/>
        </w:rPr>
        <w:t>age.</w:t>
      </w:r>
      <w:r w:rsidR="00473A67">
        <w:rPr>
          <w:rFonts w:ascii="Times New Roman" w:hAnsi="Times New Roman" w:cs="Times New Roman"/>
          <w:lang w:val="en-US"/>
        </w:rPr>
        <w:t xml:space="preserve"> </w:t>
      </w:r>
    </w:p>
    <w:p w14:paraId="512E4D5E" w14:textId="45CCE2F8" w:rsidR="00AB7D95" w:rsidRDefault="00473A67" w:rsidP="00652657">
      <w:pPr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Preceding testing, participants were instructed to arrive at the laboratory rested, having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refrained from strenuous physical activity, alcohol, marijuana, or non-prescription drug ingestion</w:t>
      </w:r>
      <w:r>
        <w:rPr>
          <w:rFonts w:ascii="Times New Roman" w:hAnsi="Times New Roman" w:cs="Times New Roman"/>
          <w:lang w:val="en-US"/>
        </w:rPr>
        <w:t xml:space="preserve"> </w:t>
      </w:r>
      <w:r w:rsidRPr="00473A67">
        <w:rPr>
          <w:rFonts w:ascii="Times New Roman" w:hAnsi="Times New Roman" w:cs="Times New Roman"/>
          <w:lang w:val="en-US"/>
        </w:rPr>
        <w:t>24 hours prior to sampling. They were instructed not to cycle or run to and from the laboratory on</w:t>
      </w:r>
      <w:r w:rsidR="009E261C">
        <w:rPr>
          <w:rFonts w:ascii="Times New Roman" w:hAnsi="Times New Roman" w:cs="Times New Roman"/>
          <w:lang w:val="en-US"/>
        </w:rPr>
        <w:t xml:space="preserve"> </w:t>
      </w:r>
      <w:r w:rsidRPr="00473A67">
        <w:rPr>
          <w:rFonts w:ascii="Times New Roman" w:hAnsi="Times New Roman" w:cs="Times New Roman"/>
          <w:lang w:val="en-US"/>
        </w:rPr>
        <w:t>sampling days, nor partake in any physically demanding work in the hours after the sampling day.</w:t>
      </w:r>
      <w:r>
        <w:rPr>
          <w:rFonts w:ascii="Times New Roman" w:hAnsi="Times New Roman" w:cs="Times New Roman"/>
          <w:lang w:val="en-US"/>
        </w:rPr>
        <w:t xml:space="preserve"> </w:t>
      </w:r>
      <w:r w:rsidRPr="00473A67">
        <w:rPr>
          <w:rFonts w:ascii="Times New Roman" w:hAnsi="Times New Roman" w:cs="Times New Roman"/>
          <w:lang w:val="en-US"/>
        </w:rPr>
        <w:t>Participants were asked to avoid caffeine on the day of sampling before their testing</w:t>
      </w:r>
      <w:r w:rsidR="009E261C">
        <w:rPr>
          <w:rFonts w:ascii="Times New Roman" w:hAnsi="Times New Roman" w:cs="Times New Roman"/>
          <w:lang w:val="en-US"/>
        </w:rPr>
        <w:t xml:space="preserve"> and </w:t>
      </w:r>
      <w:r w:rsidRPr="00473A67">
        <w:rPr>
          <w:rFonts w:ascii="Times New Roman" w:hAnsi="Times New Roman" w:cs="Times New Roman"/>
          <w:lang w:val="en-US"/>
        </w:rPr>
        <w:t>eating within</w:t>
      </w:r>
      <w:r>
        <w:rPr>
          <w:rFonts w:ascii="Times New Roman" w:hAnsi="Times New Roman" w:cs="Times New Roman"/>
          <w:lang w:val="en-US"/>
        </w:rPr>
        <w:t xml:space="preserve"> </w:t>
      </w:r>
      <w:r w:rsidRPr="00473A67">
        <w:rPr>
          <w:rFonts w:ascii="Times New Roman" w:hAnsi="Times New Roman" w:cs="Times New Roman"/>
          <w:lang w:val="en-US"/>
        </w:rPr>
        <w:t>four hours prior to sampling</w:t>
      </w:r>
      <w:r w:rsidR="009E261C">
        <w:rPr>
          <w:rFonts w:ascii="Times New Roman" w:hAnsi="Times New Roman" w:cs="Times New Roman"/>
          <w:lang w:val="en-US"/>
        </w:rPr>
        <w:t xml:space="preserve">. </w:t>
      </w:r>
    </w:p>
    <w:p w14:paraId="6AE28086" w14:textId="0E698945" w:rsidR="009E261C" w:rsidRDefault="009E261C" w:rsidP="0065265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US"/>
        </w:rPr>
      </w:pPr>
    </w:p>
    <w:p w14:paraId="01C3E7D3" w14:textId="35D79D05" w:rsidR="009E261C" w:rsidRPr="00364C01" w:rsidRDefault="009E261C" w:rsidP="006526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364C01">
        <w:rPr>
          <w:rFonts w:ascii="Times New Roman" w:hAnsi="Times New Roman" w:cs="Times New Roman"/>
          <w:b/>
          <w:bCs/>
          <w:lang w:val="en-US"/>
        </w:rPr>
        <w:lastRenderedPageBreak/>
        <w:t>Experimental Design</w:t>
      </w:r>
      <w:r w:rsidR="00E231DD">
        <w:rPr>
          <w:rFonts w:ascii="Times New Roman" w:hAnsi="Times New Roman" w:cs="Times New Roman"/>
          <w:b/>
          <w:bCs/>
          <w:lang w:val="en-US"/>
        </w:rPr>
        <w:t xml:space="preserve"> (Figure 1.) </w:t>
      </w:r>
    </w:p>
    <w:p w14:paraId="0DBE2A7F" w14:textId="41622715" w:rsidR="009E261C" w:rsidRDefault="009E261C" w:rsidP="0065265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Participant testing consisted of blood pressure, electrocardiogram (ECG), and ultrasonographic measurements. </w:t>
      </w:r>
      <w:r>
        <w:rPr>
          <w:rFonts w:ascii="Times New Roman" w:hAnsi="Times New Roman" w:cs="Times New Roman"/>
          <w:lang w:val="en-US"/>
        </w:rPr>
        <w:t>Upon arrival at the lab, participants were placed in a supine</w:t>
      </w:r>
    </w:p>
    <w:p w14:paraId="30AD027C" w14:textId="33603DD1" w:rsidR="009E261C" w:rsidRDefault="009E261C" w:rsidP="0065265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position in a temperature controlled (21-24°C) room and were instrumented with a noninvasive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continuous blood pressure monitor. Once an adequate blood pressure signal was</w:t>
      </w:r>
    </w:p>
    <w:p w14:paraId="6421971C" w14:textId="575BC6B3" w:rsidR="009E261C" w:rsidRDefault="009E261C" w:rsidP="0065265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recording, the participant was left in a supine position for </w:t>
      </w:r>
      <w:r w:rsidR="005D6379">
        <w:rPr>
          <w:rFonts w:ascii="Times New Roman" w:hAnsi="Times New Roman" w:cs="Times New Roman"/>
          <w:lang w:val="en-US"/>
        </w:rPr>
        <w:t>five</w:t>
      </w:r>
      <w:r>
        <w:rPr>
          <w:rFonts w:ascii="Times New Roman" w:hAnsi="Times New Roman" w:cs="Times New Roman"/>
          <w:lang w:val="en-US"/>
        </w:rPr>
        <w:t xml:space="preserve"> minutes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to ensure baseline sampling was taken at rest, with minimal sympathetic nervous system activation.</w:t>
      </w:r>
      <w:r>
        <w:rPr>
          <w:rFonts w:ascii="Times New Roman" w:hAnsi="Times New Roman" w:cs="Times New Roman"/>
          <w:lang w:val="en-US"/>
        </w:rPr>
        <w:t xml:space="preserve"> </w:t>
      </w:r>
    </w:p>
    <w:p w14:paraId="2FE043FC" w14:textId="42DD3F1A" w:rsidR="009E261C" w:rsidRDefault="009E261C" w:rsidP="0065265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Once the rest period was complete, participants underwent a flow mediated dilation (FMD) protocol to measure endothelial dependent dilation of the brachial artery using Doppler ultrasound (described below). Following the FMD, participants underwent a 30-minute exercise bout using a handgrip dynamometer. A second FMD was conducted immediately after the exercise period was complete. The participant was then given a 30-minute rest period where no blood pressure or ECG measurements were taken. Once the 30-minute rest period was complete</w:t>
      </w:r>
      <w:r w:rsidR="007A6FC3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participants</w:t>
      </w:r>
      <w:r w:rsidR="007A6FC3">
        <w:rPr>
          <w:rFonts w:ascii="Times New Roman" w:hAnsi="Times New Roman" w:cs="Times New Roman"/>
          <w:lang w:val="en-US"/>
        </w:rPr>
        <w:t xml:space="preserve">’ blood pressure and ECG measurements were collected once again and, a third and final FMD was conducted. At the end of testing, participants were given 112, one-gram </w:t>
      </w:r>
      <w:r w:rsidR="00531697">
        <w:rPr>
          <w:rFonts w:ascii="Times New Roman" w:hAnsi="Times New Roman" w:cs="Times New Roman"/>
          <w:lang w:val="en-US"/>
        </w:rPr>
        <w:t>supplements</w:t>
      </w:r>
      <w:r w:rsidR="007A6FC3">
        <w:rPr>
          <w:rFonts w:ascii="Times New Roman" w:hAnsi="Times New Roman" w:cs="Times New Roman"/>
          <w:lang w:val="en-US"/>
        </w:rPr>
        <w:t xml:space="preserve">. The </w:t>
      </w:r>
      <w:r w:rsidR="00531697">
        <w:rPr>
          <w:rFonts w:ascii="Times New Roman" w:hAnsi="Times New Roman" w:cs="Times New Roman"/>
          <w:lang w:val="en-US"/>
        </w:rPr>
        <w:t>supplements given</w:t>
      </w:r>
      <w:r w:rsidR="00DF1A76">
        <w:rPr>
          <w:rFonts w:ascii="Times New Roman" w:hAnsi="Times New Roman" w:cs="Times New Roman"/>
          <w:lang w:val="en-US"/>
        </w:rPr>
        <w:t xml:space="preserve"> were </w:t>
      </w:r>
      <w:r w:rsidR="007A6FC3">
        <w:rPr>
          <w:rFonts w:ascii="Times New Roman" w:hAnsi="Times New Roman" w:cs="Times New Roman"/>
          <w:lang w:val="en-US"/>
        </w:rPr>
        <w:t xml:space="preserve">either contained white, granulated sugar or table salt. Participants were unaware of which </w:t>
      </w:r>
      <w:r w:rsidR="00531697">
        <w:rPr>
          <w:rFonts w:ascii="Times New Roman" w:hAnsi="Times New Roman" w:cs="Times New Roman"/>
          <w:lang w:val="en-US"/>
        </w:rPr>
        <w:t>supplements</w:t>
      </w:r>
      <w:r w:rsidR="007A6FC3">
        <w:rPr>
          <w:rFonts w:ascii="Times New Roman" w:hAnsi="Times New Roman" w:cs="Times New Roman"/>
          <w:lang w:val="en-US"/>
        </w:rPr>
        <w:t xml:space="preserve"> they were given as this information was only known to the individuals on the research team. The decision to give participants either salt or sugar </w:t>
      </w:r>
      <w:r w:rsidR="00531697">
        <w:rPr>
          <w:rFonts w:ascii="Times New Roman" w:hAnsi="Times New Roman" w:cs="Times New Roman"/>
          <w:lang w:val="en-US"/>
        </w:rPr>
        <w:t>supplements</w:t>
      </w:r>
      <w:r w:rsidR="007A6FC3">
        <w:rPr>
          <w:rFonts w:ascii="Times New Roman" w:hAnsi="Times New Roman" w:cs="Times New Roman"/>
          <w:lang w:val="en-US"/>
        </w:rPr>
        <w:t xml:space="preserve"> was randomly decided using an online generator. Participants were instructed to intake 16 capsules per day for a seven-day period that began on the day </w:t>
      </w:r>
      <w:r w:rsidR="00C90CEF">
        <w:rPr>
          <w:rFonts w:ascii="Times New Roman" w:hAnsi="Times New Roman" w:cs="Times New Roman"/>
          <w:lang w:val="en-US"/>
        </w:rPr>
        <w:t xml:space="preserve">their baseline measurements were gathered. </w:t>
      </w:r>
      <w:r w:rsidR="007A6FC3">
        <w:rPr>
          <w:rFonts w:ascii="Times New Roman" w:hAnsi="Times New Roman" w:cs="Times New Roman"/>
          <w:lang w:val="en-US"/>
        </w:rPr>
        <w:t xml:space="preserve">The salt capsules weighed </w:t>
      </w:r>
      <w:r w:rsidR="002D2916">
        <w:rPr>
          <w:rFonts w:ascii="Times New Roman" w:hAnsi="Times New Roman" w:cs="Times New Roman"/>
          <w:lang w:val="en-US"/>
        </w:rPr>
        <w:t xml:space="preserve">1.2270g </w:t>
      </w:r>
      <w:r w:rsidR="002D2916" w:rsidRPr="00473A67">
        <w:rPr>
          <w:rFonts w:ascii="Times New Roman" w:hAnsi="Times New Roman" w:cs="Times New Roman"/>
          <w:color w:val="202122"/>
          <w:shd w:val="clear" w:color="auto" w:fill="FDFDFD"/>
        </w:rPr>
        <w:t>±</w:t>
      </w:r>
      <w:r w:rsidR="002D2916">
        <w:rPr>
          <w:rFonts w:ascii="Times New Roman" w:hAnsi="Times New Roman" w:cs="Times New Roman"/>
          <w:color w:val="202122"/>
          <w:shd w:val="clear" w:color="auto" w:fill="FDFDFD"/>
        </w:rPr>
        <w:t xml:space="preserve"> 0.018790411</w:t>
      </w:r>
      <w:r w:rsidR="00C90CEF">
        <w:rPr>
          <w:rFonts w:ascii="Times New Roman" w:hAnsi="Times New Roman" w:cs="Times New Roman"/>
          <w:lang w:val="en-US"/>
        </w:rPr>
        <w:t xml:space="preserve">. This weight was determined as per previous work by Babcock et. al (2019), as this allowed for 6 grams of sodium to be ingested everyday by the participants for a seven-day period. </w:t>
      </w:r>
      <w:r w:rsidR="00DF1A76">
        <w:rPr>
          <w:rFonts w:ascii="Times New Roman" w:hAnsi="Times New Roman" w:cs="Times New Roman"/>
          <w:lang w:val="en-US"/>
        </w:rPr>
        <w:t xml:space="preserve">The sugar capsules </w:t>
      </w:r>
      <w:r w:rsidR="00DF1A76">
        <w:rPr>
          <w:rFonts w:ascii="Times New Roman" w:hAnsi="Times New Roman" w:cs="Times New Roman"/>
          <w:lang w:val="en-US"/>
        </w:rPr>
        <w:lastRenderedPageBreak/>
        <w:t xml:space="preserve">were given to participants to act as a placebo and weighed </w:t>
      </w:r>
      <w:r w:rsidR="002D2916">
        <w:rPr>
          <w:rFonts w:ascii="Times New Roman" w:hAnsi="Times New Roman" w:cs="Times New Roman"/>
          <w:lang w:val="en-US"/>
        </w:rPr>
        <w:t xml:space="preserve">0.9295g </w:t>
      </w:r>
      <w:r w:rsidR="002D2916" w:rsidRPr="00473A67">
        <w:rPr>
          <w:rFonts w:ascii="Times New Roman" w:hAnsi="Times New Roman" w:cs="Times New Roman"/>
          <w:color w:val="202122"/>
          <w:shd w:val="clear" w:color="auto" w:fill="FDFDFD"/>
        </w:rPr>
        <w:t>±</w:t>
      </w:r>
      <w:r w:rsidR="002D2916">
        <w:rPr>
          <w:rFonts w:ascii="Times New Roman" w:hAnsi="Times New Roman" w:cs="Times New Roman"/>
          <w:color w:val="202122"/>
          <w:shd w:val="clear" w:color="auto" w:fill="FDFDFD"/>
        </w:rPr>
        <w:t xml:space="preserve"> 0.01247011</w:t>
      </w:r>
      <w:r w:rsidR="00DF1A76">
        <w:rPr>
          <w:rFonts w:ascii="Times New Roman" w:hAnsi="Times New Roman" w:cs="Times New Roman"/>
          <w:lang w:val="en-US"/>
        </w:rPr>
        <w:t xml:space="preserve">. The duration of seven days was also determined per previous work by Babcock et. al, 2019. All participants returned a week after their baseline measurements were taken and they have taken all 112 </w:t>
      </w:r>
      <w:r w:rsidR="00531697">
        <w:rPr>
          <w:rFonts w:ascii="Times New Roman" w:hAnsi="Times New Roman" w:cs="Times New Roman"/>
          <w:lang w:val="en-US"/>
        </w:rPr>
        <w:t>supplemental capsules</w:t>
      </w:r>
      <w:r w:rsidR="00DF1A76">
        <w:rPr>
          <w:rFonts w:ascii="Times New Roman" w:hAnsi="Times New Roman" w:cs="Times New Roman"/>
          <w:lang w:val="en-US"/>
        </w:rPr>
        <w:t xml:space="preserve">. Upon return for post testing, the same procedures described above were repeated. Participants then underwent a “wash-out” period, where they did not ingest any </w:t>
      </w:r>
      <w:r w:rsidR="00531697">
        <w:rPr>
          <w:rFonts w:ascii="Times New Roman" w:hAnsi="Times New Roman" w:cs="Times New Roman"/>
          <w:lang w:val="en-US"/>
        </w:rPr>
        <w:t>supplements</w:t>
      </w:r>
      <w:r w:rsidR="00DF1A76">
        <w:rPr>
          <w:rFonts w:ascii="Times New Roman" w:hAnsi="Times New Roman" w:cs="Times New Roman"/>
          <w:lang w:val="en-US"/>
        </w:rPr>
        <w:t xml:space="preserve"> for at least seven-days. After the wash-out period was complete, participants returned to the laboratory and </w:t>
      </w:r>
      <w:r w:rsidR="00A45048">
        <w:rPr>
          <w:rFonts w:ascii="Times New Roman" w:hAnsi="Times New Roman" w:cs="Times New Roman"/>
          <w:lang w:val="en-US"/>
        </w:rPr>
        <w:t xml:space="preserve">the same procedures described above were repeated to gather their second baseline measurement. After testing was complete, participants were given another 112, one-gram </w:t>
      </w:r>
      <w:r w:rsidR="00531697">
        <w:rPr>
          <w:rFonts w:ascii="Times New Roman" w:hAnsi="Times New Roman" w:cs="Times New Roman"/>
          <w:lang w:val="en-US"/>
        </w:rPr>
        <w:t xml:space="preserve">supplements </w:t>
      </w:r>
      <w:r w:rsidR="00A45048">
        <w:rPr>
          <w:rFonts w:ascii="Times New Roman" w:hAnsi="Times New Roman" w:cs="Times New Roman"/>
          <w:lang w:val="en-US"/>
        </w:rPr>
        <w:t xml:space="preserve">that contained different contents than the one given previously. They were once again instructed to ingest 16 capsules per day for a seven-day period that began on the same day as their second baseline measurements were gathered. Participants then returned to the laboratory for a final time after the seven-day period and the same procedures described above were repeated (Figure </w:t>
      </w:r>
      <w:r w:rsidR="00531697">
        <w:rPr>
          <w:rFonts w:ascii="Times New Roman" w:hAnsi="Times New Roman" w:cs="Times New Roman"/>
          <w:lang w:val="en-US"/>
        </w:rPr>
        <w:t>2</w:t>
      </w:r>
      <w:r w:rsidR="00A45048">
        <w:rPr>
          <w:rFonts w:ascii="Times New Roman" w:hAnsi="Times New Roman" w:cs="Times New Roman"/>
          <w:lang w:val="en-US"/>
        </w:rPr>
        <w:t xml:space="preserve">). </w:t>
      </w:r>
    </w:p>
    <w:p w14:paraId="6A8B3659" w14:textId="590EA367" w:rsidR="00A45048" w:rsidRDefault="00A45048" w:rsidP="0065265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US"/>
        </w:rPr>
      </w:pPr>
    </w:p>
    <w:p w14:paraId="1CE8E381" w14:textId="70F9DA2C" w:rsidR="00A45048" w:rsidRDefault="00652657" w:rsidP="0065265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49EAA" wp14:editId="1962739C">
                <wp:simplePos x="0" y="0"/>
                <wp:positionH relativeFrom="column">
                  <wp:posOffset>2401556</wp:posOffset>
                </wp:positionH>
                <wp:positionV relativeFrom="paragraph">
                  <wp:posOffset>4752870</wp:posOffset>
                </wp:positionV>
                <wp:extent cx="1396379" cy="266805"/>
                <wp:effectExtent l="0" t="0" r="63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6379" cy="266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A3653" w14:textId="77777777" w:rsidR="00652657" w:rsidRDefault="006526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249EA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9.1pt;margin-top:374.25pt;width:109.9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" fillcolor="white [3212]" stroked="f">
                <v:textbox>
                  <w:txbxContent>
                    <w:p w14:paraId="18DA3653" w14:textId="77777777" w:rsidR="00652657" w:rsidRDefault="00652657"/>
                  </w:txbxContent>
                </v:textbox>
              </v:shape>
            </w:pict>
          </mc:Fallback>
        </mc:AlternateContent>
      </w:r>
      <w:r w:rsidR="0020403B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24DDDC83" wp14:editId="3C33B429">
            <wp:extent cx="3798277" cy="5020138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941" cy="511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D0B39" w14:textId="5224639F" w:rsidR="0020403B" w:rsidRDefault="00531697" w:rsidP="0065265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Figure 1. Timeline of experimental procedure. </w:t>
      </w:r>
    </w:p>
    <w:p w14:paraId="5B01D510" w14:textId="26790CDD" w:rsidR="00B65C74" w:rsidRDefault="00B65C74" w:rsidP="0065265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US"/>
        </w:rPr>
      </w:pPr>
    </w:p>
    <w:p w14:paraId="0CEF4345" w14:textId="51F45E65" w:rsidR="00E231DD" w:rsidRDefault="00E231DD" w:rsidP="0065265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US"/>
        </w:rPr>
      </w:pPr>
    </w:p>
    <w:p w14:paraId="26D6289A" w14:textId="00E0629B" w:rsidR="00E231DD" w:rsidRDefault="00E231DD" w:rsidP="0065265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US"/>
        </w:rPr>
      </w:pPr>
    </w:p>
    <w:p w14:paraId="3B3392CD" w14:textId="449388AF" w:rsidR="00E231DD" w:rsidRDefault="00E231DD" w:rsidP="0065265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US"/>
        </w:rPr>
      </w:pPr>
    </w:p>
    <w:p w14:paraId="4F4E599D" w14:textId="4F14D9C0" w:rsidR="00E231DD" w:rsidRDefault="00E231DD" w:rsidP="0065265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7EF60A2A" wp14:editId="64F334EE">
            <wp:extent cx="5943600" cy="2523490"/>
            <wp:effectExtent l="0" t="0" r="0" b="3810"/>
            <wp:docPr id="4" name="Picture 4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imelin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599EB" w14:textId="614280A6" w:rsidR="00B65C74" w:rsidRDefault="00B65C74" w:rsidP="0065265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Figure 2. Timeline of test day. </w:t>
      </w:r>
    </w:p>
    <w:p w14:paraId="19A90207" w14:textId="03BF7F91" w:rsidR="00C938EF" w:rsidRDefault="00C938EF" w:rsidP="0065265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US"/>
        </w:rPr>
      </w:pPr>
    </w:p>
    <w:p w14:paraId="648D99EB" w14:textId="5B687C76" w:rsidR="00C938EF" w:rsidRPr="00652657" w:rsidRDefault="00C938EF" w:rsidP="006526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652657">
        <w:rPr>
          <w:rFonts w:ascii="Times New Roman" w:hAnsi="Times New Roman" w:cs="Times New Roman"/>
          <w:b/>
          <w:bCs/>
          <w:lang w:val="en-US"/>
        </w:rPr>
        <w:t>Hand-grip Exercise</w:t>
      </w:r>
    </w:p>
    <w:p w14:paraId="22DABE98" w14:textId="0BD3DAFC" w:rsidR="00364C01" w:rsidRPr="00652657" w:rsidRDefault="00E25A4E" w:rsidP="00652657">
      <w:pPr>
        <w:autoSpaceDE w:val="0"/>
        <w:autoSpaceDN w:val="0"/>
        <w:adjustRightInd w:val="0"/>
        <w:spacing w:line="480" w:lineRule="auto"/>
        <w:ind w:firstLine="36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30-minute hand-grip exercise was performed using a handgrip dynamometer which was attached to a PowerLab unit. Each participant had the hand-grip dynamometer calibrated to their maximum voluntary contraction. The calibration was performed by having the participant squeeze the handgrip dynamometer as hard as they could for a three-second timeframe. This maximal handgrip was performed three times with a minute of rest in between. The signal was recorded using the program LabChart. After the maximal voluntary contraction was determined, LabChart was re-programed to have the participants maximum grip strength be equivalent to 100%. After the calibration participants were instructed to squeeze the handgrip dynamometer to 25% of their maximum voluntary contraction at a rhythmic pace of two-seconds contraction and three-seconds release for a 30-minute period. These values were determined from a study conducted by </w:t>
      </w:r>
      <w:proofErr w:type="spellStart"/>
      <w:r>
        <w:rPr>
          <w:rFonts w:ascii="Times New Roman" w:hAnsi="Times New Roman" w:cs="Times New Roman"/>
          <w:lang w:val="en-US"/>
        </w:rPr>
        <w:t>Sinoway</w:t>
      </w:r>
      <w:proofErr w:type="spellEnd"/>
      <w:r>
        <w:rPr>
          <w:rFonts w:ascii="Times New Roman" w:hAnsi="Times New Roman" w:cs="Times New Roman"/>
          <w:lang w:val="en-US"/>
        </w:rPr>
        <w:t xml:space="preserve"> et. al, 1996. </w:t>
      </w:r>
      <w:r w:rsidR="0064317B">
        <w:rPr>
          <w:rFonts w:ascii="Times New Roman" w:hAnsi="Times New Roman" w:cs="Times New Roman"/>
          <w:lang w:val="en-US"/>
        </w:rPr>
        <w:t>Participants were able to easily view their percentage of maximum voluntary contraction and were given a PowerPoint presentation that instructed them when to contract and when to release the dynamometer.</w:t>
      </w:r>
    </w:p>
    <w:p w14:paraId="3FBD4E2E" w14:textId="7478BD72" w:rsidR="00364C01" w:rsidRDefault="00364C01" w:rsidP="006526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364C01">
        <w:rPr>
          <w:rFonts w:ascii="Times New Roman" w:hAnsi="Times New Roman" w:cs="Times New Roman"/>
          <w:b/>
          <w:bCs/>
          <w:lang w:val="en-US"/>
        </w:rPr>
        <w:lastRenderedPageBreak/>
        <w:t>Vascular Assessments</w:t>
      </w:r>
    </w:p>
    <w:p w14:paraId="5708B819" w14:textId="1E6D0C8C" w:rsidR="00364C01" w:rsidRPr="00364C01" w:rsidRDefault="00364C01" w:rsidP="0065265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364C01">
        <w:rPr>
          <w:rFonts w:ascii="Times New Roman" w:hAnsi="Times New Roman" w:cs="Times New Roman"/>
          <w:b/>
          <w:bCs/>
          <w:lang w:val="en-US"/>
        </w:rPr>
        <w:t xml:space="preserve">Blood Pressure </w:t>
      </w:r>
    </w:p>
    <w:p w14:paraId="56AD85E7" w14:textId="0D0A583C" w:rsidR="00364C01" w:rsidRDefault="00364C01" w:rsidP="00652657">
      <w:pPr>
        <w:pStyle w:val="ListParagraph"/>
        <w:autoSpaceDE w:val="0"/>
        <w:autoSpaceDN w:val="0"/>
        <w:adjustRightInd w:val="0"/>
        <w:spacing w:line="480" w:lineRule="auto"/>
        <w:ind w:firstLine="360"/>
        <w:rPr>
          <w:rFonts w:ascii="Times New Roman" w:hAnsi="Times New Roman" w:cs="Times New Roman"/>
          <w:lang w:val="en-US"/>
        </w:rPr>
      </w:pPr>
      <w:r w:rsidRPr="00364C01">
        <w:rPr>
          <w:rFonts w:ascii="Times New Roman" w:hAnsi="Times New Roman" w:cs="Times New Roman"/>
          <w:lang w:val="en-US"/>
        </w:rPr>
        <w:t>Participants were instrumented with a non-invasive continuous blood pressure monitor that</w:t>
      </w:r>
      <w:r>
        <w:rPr>
          <w:rFonts w:ascii="Times New Roman" w:hAnsi="Times New Roman" w:cs="Times New Roman"/>
          <w:lang w:val="en-US"/>
        </w:rPr>
        <w:t xml:space="preserve"> </w:t>
      </w:r>
      <w:r w:rsidRPr="00364C01">
        <w:rPr>
          <w:rFonts w:ascii="Times New Roman" w:hAnsi="Times New Roman" w:cs="Times New Roman"/>
          <w:lang w:val="en-US"/>
        </w:rPr>
        <w:t>output an analog continuous waveform to a BIOPAC data acquisition system (</w:t>
      </w:r>
      <w:proofErr w:type="spellStart"/>
      <w:r w:rsidRPr="00364C01">
        <w:rPr>
          <w:rFonts w:ascii="Times New Roman" w:hAnsi="Times New Roman" w:cs="Times New Roman"/>
          <w:lang w:val="en-US"/>
        </w:rPr>
        <w:t>Biopac</w:t>
      </w:r>
      <w:proofErr w:type="spellEnd"/>
      <w:r w:rsidRPr="00364C01">
        <w:rPr>
          <w:rFonts w:ascii="Times New Roman" w:hAnsi="Times New Roman" w:cs="Times New Roman"/>
          <w:lang w:val="en-US"/>
        </w:rPr>
        <w:t xml:space="preserve"> MP160,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4C01">
        <w:rPr>
          <w:rFonts w:ascii="Times New Roman" w:hAnsi="Times New Roman" w:cs="Times New Roman"/>
          <w:lang w:val="en-US"/>
        </w:rPr>
        <w:t>Biopac</w:t>
      </w:r>
      <w:proofErr w:type="spellEnd"/>
      <w:r w:rsidRPr="00364C01">
        <w:rPr>
          <w:rFonts w:ascii="Times New Roman" w:hAnsi="Times New Roman" w:cs="Times New Roman"/>
          <w:lang w:val="en-US"/>
        </w:rPr>
        <w:t xml:space="preserve"> Systems, California, USA). The CNAP monitor consisted of finger cuffs placed around the</w:t>
      </w:r>
      <w:r>
        <w:rPr>
          <w:rFonts w:ascii="Times New Roman" w:hAnsi="Times New Roman" w:cs="Times New Roman"/>
          <w:lang w:val="en-US"/>
        </w:rPr>
        <w:t xml:space="preserve"> </w:t>
      </w:r>
      <w:r w:rsidRPr="00364C01">
        <w:rPr>
          <w:rFonts w:ascii="Times New Roman" w:hAnsi="Times New Roman" w:cs="Times New Roman"/>
          <w:lang w:val="en-US"/>
        </w:rPr>
        <w:t>left index and middle fingers, one of which was monitored continuously using</w:t>
      </w:r>
      <w:r>
        <w:rPr>
          <w:rFonts w:ascii="Times New Roman" w:hAnsi="Times New Roman" w:cs="Times New Roman"/>
          <w:lang w:val="en-US"/>
        </w:rPr>
        <w:t xml:space="preserve"> </w:t>
      </w:r>
      <w:r w:rsidRPr="00364C01">
        <w:rPr>
          <w:rFonts w:ascii="Times New Roman" w:hAnsi="Times New Roman" w:cs="Times New Roman"/>
          <w:lang w:val="en-US"/>
        </w:rPr>
        <w:t>photoplethysmography. Blood pressure was recorded during the initial 10-minute rest period and</w:t>
      </w:r>
      <w:r>
        <w:rPr>
          <w:rFonts w:ascii="Times New Roman" w:hAnsi="Times New Roman" w:cs="Times New Roman"/>
          <w:lang w:val="en-US"/>
        </w:rPr>
        <w:t xml:space="preserve"> </w:t>
      </w:r>
      <w:r w:rsidRPr="00364C01">
        <w:rPr>
          <w:rFonts w:ascii="Times New Roman" w:hAnsi="Times New Roman" w:cs="Times New Roman"/>
          <w:lang w:val="en-US"/>
        </w:rPr>
        <w:t>through the duration of the FMD protocol. Each participant’s resting blood pressure was</w:t>
      </w:r>
      <w:r>
        <w:rPr>
          <w:rFonts w:ascii="Times New Roman" w:hAnsi="Times New Roman" w:cs="Times New Roman"/>
          <w:lang w:val="en-US"/>
        </w:rPr>
        <w:t xml:space="preserve"> </w:t>
      </w:r>
      <w:r w:rsidRPr="00364C01">
        <w:rPr>
          <w:rFonts w:ascii="Times New Roman" w:hAnsi="Times New Roman" w:cs="Times New Roman"/>
          <w:lang w:val="en-US"/>
        </w:rPr>
        <w:t>determined by averaging their values over 300 seconds midway through the rest period.</w:t>
      </w:r>
    </w:p>
    <w:p w14:paraId="60E7B08A" w14:textId="77777777" w:rsidR="00652657" w:rsidRPr="00364C01" w:rsidRDefault="00652657" w:rsidP="00652657">
      <w:pPr>
        <w:pStyle w:val="ListParagraph"/>
        <w:autoSpaceDE w:val="0"/>
        <w:autoSpaceDN w:val="0"/>
        <w:adjustRightInd w:val="0"/>
        <w:spacing w:line="480" w:lineRule="auto"/>
        <w:ind w:firstLine="360"/>
        <w:rPr>
          <w:rFonts w:ascii="Times New Roman" w:hAnsi="Times New Roman" w:cs="Times New Roman"/>
          <w:lang w:val="en-US"/>
        </w:rPr>
      </w:pPr>
    </w:p>
    <w:p w14:paraId="6D803520" w14:textId="502A82A8" w:rsidR="00364C01" w:rsidRPr="008E4127" w:rsidRDefault="008E4127" w:rsidP="0065265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8E4127">
        <w:rPr>
          <w:rFonts w:ascii="Times New Roman" w:hAnsi="Times New Roman" w:cs="Times New Roman"/>
          <w:b/>
          <w:bCs/>
          <w:lang w:val="en-US"/>
        </w:rPr>
        <w:t>Endothelial Function</w:t>
      </w:r>
    </w:p>
    <w:p w14:paraId="183EE2D6" w14:textId="2D17C4B9" w:rsidR="008E4127" w:rsidRDefault="008E4127" w:rsidP="00652657">
      <w:pPr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lang w:val="en-US"/>
        </w:rPr>
      </w:pPr>
      <w:r w:rsidRPr="008E4127">
        <w:rPr>
          <w:rFonts w:ascii="Times New Roman" w:hAnsi="Times New Roman" w:cs="Times New Roman"/>
          <w:lang w:val="en-US"/>
        </w:rPr>
        <w:t>Endothelial function was assessed using a brachial artery flow mediated dilation (FMD)</w:t>
      </w:r>
      <w:r>
        <w:rPr>
          <w:rFonts w:ascii="Times New Roman" w:hAnsi="Times New Roman" w:cs="Times New Roman"/>
          <w:lang w:val="en-US"/>
        </w:rPr>
        <w:t xml:space="preserve"> </w:t>
      </w:r>
      <w:r w:rsidRPr="008E4127">
        <w:rPr>
          <w:rFonts w:ascii="Times New Roman" w:hAnsi="Times New Roman" w:cs="Times New Roman"/>
          <w:lang w:val="en-US"/>
        </w:rPr>
        <w:t>protocol that measures an endothelium-</w:t>
      </w:r>
      <w:r w:rsidRPr="008E4127">
        <w:rPr>
          <w:rFonts w:ascii="Times New Roman" w:hAnsi="Times New Roman" w:cs="Times New Roman"/>
          <w:lang w:val="en-US"/>
        </w:rPr>
        <w:t>dependent</w:t>
      </w:r>
      <w:r w:rsidRPr="008E4127">
        <w:rPr>
          <w:rFonts w:ascii="Times New Roman" w:hAnsi="Times New Roman" w:cs="Times New Roman"/>
          <w:lang w:val="en-US"/>
        </w:rPr>
        <w:t xml:space="preserve"> dilation after a period of occlusion downstream</w:t>
      </w:r>
      <w:r w:rsidRPr="008E4127">
        <w:rPr>
          <w:rFonts w:ascii="Times New Roman" w:hAnsi="Times New Roman" w:cs="Times New Roman"/>
          <w:lang w:val="en-US"/>
        </w:rPr>
        <w:t xml:space="preserve"> </w:t>
      </w:r>
      <w:r w:rsidRPr="008E4127">
        <w:rPr>
          <w:rFonts w:ascii="Times New Roman" w:hAnsi="Times New Roman" w:cs="Times New Roman"/>
          <w:lang w:val="en-US"/>
        </w:rPr>
        <w:t xml:space="preserve">of the assessed artery. A pneumatic cuff around their </w:t>
      </w:r>
      <w:r w:rsidR="00B56CA2">
        <w:rPr>
          <w:rFonts w:ascii="Times New Roman" w:hAnsi="Times New Roman" w:cs="Times New Roman"/>
          <w:lang w:val="en-US"/>
        </w:rPr>
        <w:t>left</w:t>
      </w:r>
      <w:r w:rsidRPr="008E4127">
        <w:rPr>
          <w:rFonts w:ascii="Times New Roman" w:hAnsi="Times New Roman" w:cs="Times New Roman"/>
          <w:lang w:val="en-US"/>
        </w:rPr>
        <w:t xml:space="preserve"> forearm wa</w:t>
      </w:r>
      <w:r w:rsidRPr="008E4127">
        <w:rPr>
          <w:rFonts w:ascii="Times New Roman" w:hAnsi="Times New Roman" w:cs="Times New Roman"/>
          <w:lang w:val="en-US"/>
        </w:rPr>
        <w:t xml:space="preserve">s </w:t>
      </w:r>
      <w:r w:rsidRPr="008E4127">
        <w:rPr>
          <w:rFonts w:ascii="Times New Roman" w:hAnsi="Times New Roman" w:cs="Times New Roman"/>
          <w:lang w:val="en-US"/>
        </w:rPr>
        <w:t>connected to a pressure</w:t>
      </w:r>
      <w:r w:rsidRPr="008E4127">
        <w:rPr>
          <w:rFonts w:ascii="Times New Roman" w:hAnsi="Times New Roman" w:cs="Times New Roman"/>
          <w:lang w:val="en-US"/>
        </w:rPr>
        <w:t xml:space="preserve"> </w:t>
      </w:r>
      <w:r w:rsidRPr="008E4127">
        <w:rPr>
          <w:rFonts w:ascii="Times New Roman" w:hAnsi="Times New Roman" w:cs="Times New Roman"/>
          <w:lang w:val="en-US"/>
        </w:rPr>
        <w:t>monitor and an inflation bulb. Doppler ultrasound was used to image a longitudinal</w:t>
      </w:r>
      <w:r w:rsidRPr="008E4127">
        <w:rPr>
          <w:rFonts w:ascii="Times New Roman" w:hAnsi="Times New Roman" w:cs="Times New Roman"/>
          <w:lang w:val="en-US"/>
        </w:rPr>
        <w:t xml:space="preserve"> </w:t>
      </w:r>
      <w:r w:rsidRPr="008E4127">
        <w:rPr>
          <w:rFonts w:ascii="Times New Roman" w:hAnsi="Times New Roman" w:cs="Times New Roman"/>
          <w:lang w:val="en-US"/>
        </w:rPr>
        <w:t>section of the</w:t>
      </w:r>
      <w:r w:rsidRPr="008E4127">
        <w:rPr>
          <w:rFonts w:ascii="Times New Roman" w:hAnsi="Times New Roman" w:cs="Times New Roman"/>
          <w:lang w:val="en-US"/>
        </w:rPr>
        <w:t xml:space="preserve"> </w:t>
      </w:r>
      <w:r w:rsidRPr="008E4127">
        <w:rPr>
          <w:rFonts w:ascii="Times New Roman" w:hAnsi="Times New Roman" w:cs="Times New Roman"/>
          <w:lang w:val="en-US"/>
        </w:rPr>
        <w:t>right brachial artery, with clearly defined intima-media borders (</w:t>
      </w:r>
      <w:proofErr w:type="spellStart"/>
      <w:r w:rsidRPr="008E4127">
        <w:rPr>
          <w:rFonts w:ascii="Times New Roman" w:hAnsi="Times New Roman" w:cs="Times New Roman"/>
          <w:lang w:val="en-US"/>
        </w:rPr>
        <w:t>Epiq</w:t>
      </w:r>
      <w:proofErr w:type="spellEnd"/>
      <w:r w:rsidRPr="008E4127">
        <w:rPr>
          <w:rFonts w:ascii="Times New Roman" w:hAnsi="Times New Roman" w:cs="Times New Roman"/>
          <w:lang w:val="en-US"/>
        </w:rPr>
        <w:t xml:space="preserve"> 5G, Philips Health Care,</w:t>
      </w:r>
      <w:r w:rsidRPr="008E4127">
        <w:rPr>
          <w:rFonts w:ascii="Times New Roman" w:hAnsi="Times New Roman" w:cs="Times New Roman"/>
          <w:lang w:val="en-US"/>
        </w:rPr>
        <w:t xml:space="preserve"> </w:t>
      </w:r>
      <w:r w:rsidRPr="008E4127">
        <w:rPr>
          <w:rFonts w:ascii="Times New Roman" w:hAnsi="Times New Roman" w:cs="Times New Roman"/>
          <w:lang w:val="en-US"/>
        </w:rPr>
        <w:t>Canada). Prior to proceeding with the FMD</w:t>
      </w:r>
      <w:r w:rsidRPr="008E4127">
        <w:rPr>
          <w:rFonts w:ascii="Times New Roman" w:hAnsi="Times New Roman" w:cs="Times New Roman"/>
          <w:lang w:val="en-US"/>
        </w:rPr>
        <w:t xml:space="preserve"> </w:t>
      </w:r>
      <w:r w:rsidRPr="008E4127">
        <w:rPr>
          <w:rFonts w:ascii="Times New Roman" w:hAnsi="Times New Roman" w:cs="Times New Roman"/>
          <w:lang w:val="en-US"/>
        </w:rPr>
        <w:t xml:space="preserve">protocol, a 30 second video was recorded of the </w:t>
      </w:r>
      <w:r w:rsidR="007529AB">
        <w:rPr>
          <w:rFonts w:ascii="Times New Roman" w:hAnsi="Times New Roman" w:cs="Times New Roman"/>
          <w:lang w:val="en-US"/>
        </w:rPr>
        <w:t>left</w:t>
      </w:r>
      <w:r w:rsidRPr="008E4127">
        <w:rPr>
          <w:rFonts w:ascii="Times New Roman" w:hAnsi="Times New Roman" w:cs="Times New Roman"/>
          <w:lang w:val="en-US"/>
        </w:rPr>
        <w:t xml:space="preserve"> </w:t>
      </w:r>
      <w:r w:rsidRPr="008E4127">
        <w:rPr>
          <w:rFonts w:ascii="Times New Roman" w:hAnsi="Times New Roman" w:cs="Times New Roman"/>
          <w:lang w:val="en-US"/>
        </w:rPr>
        <w:t xml:space="preserve">brachial artery at rest. To carry out the FMD protocol, the cuff around the </w:t>
      </w:r>
      <w:r w:rsidR="007529AB">
        <w:rPr>
          <w:rFonts w:ascii="Times New Roman" w:hAnsi="Times New Roman" w:cs="Times New Roman"/>
          <w:lang w:val="en-US"/>
        </w:rPr>
        <w:t>left</w:t>
      </w:r>
      <w:r w:rsidRPr="008E4127">
        <w:rPr>
          <w:rFonts w:ascii="Times New Roman" w:hAnsi="Times New Roman" w:cs="Times New Roman"/>
          <w:lang w:val="en-US"/>
        </w:rPr>
        <w:t xml:space="preserve"> forearm was</w:t>
      </w:r>
      <w:r w:rsidRPr="008E4127">
        <w:rPr>
          <w:rFonts w:ascii="Times New Roman" w:hAnsi="Times New Roman" w:cs="Times New Roman"/>
          <w:lang w:val="en-US"/>
        </w:rPr>
        <w:t xml:space="preserve"> </w:t>
      </w:r>
      <w:r w:rsidRPr="008E4127">
        <w:rPr>
          <w:rFonts w:ascii="Times New Roman" w:hAnsi="Times New Roman" w:cs="Times New Roman"/>
          <w:lang w:val="en-US"/>
        </w:rPr>
        <w:t>inflated to 220 mmHg and held for 5 minutes to inhibit blood flow into or out of tissues beyond</w:t>
      </w:r>
      <w:r w:rsidRPr="008E4127">
        <w:rPr>
          <w:rFonts w:ascii="Times New Roman" w:hAnsi="Times New Roman" w:cs="Times New Roman"/>
          <w:lang w:val="en-US"/>
        </w:rPr>
        <w:t xml:space="preserve"> </w:t>
      </w:r>
      <w:r w:rsidRPr="008E4127">
        <w:rPr>
          <w:rFonts w:ascii="Times New Roman" w:hAnsi="Times New Roman" w:cs="Times New Roman"/>
          <w:lang w:val="en-US"/>
        </w:rPr>
        <w:t xml:space="preserve">the cuff (i.e., the </w:t>
      </w:r>
      <w:r w:rsidRPr="008E4127">
        <w:rPr>
          <w:rFonts w:ascii="Times New Roman" w:hAnsi="Times New Roman" w:cs="Times New Roman"/>
          <w:lang w:val="en-US"/>
        </w:rPr>
        <w:t>left</w:t>
      </w:r>
      <w:r w:rsidRPr="008E4127">
        <w:rPr>
          <w:rFonts w:ascii="Times New Roman" w:hAnsi="Times New Roman" w:cs="Times New Roman"/>
          <w:lang w:val="en-US"/>
        </w:rPr>
        <w:t xml:space="preserve"> forearm and hand). A </w:t>
      </w:r>
      <w:r w:rsidRPr="008E4127">
        <w:rPr>
          <w:rFonts w:ascii="Times New Roman" w:hAnsi="Times New Roman" w:cs="Times New Roman"/>
          <w:lang w:val="en-US"/>
        </w:rPr>
        <w:t>one and a half</w:t>
      </w:r>
      <w:r w:rsidRPr="008E4127">
        <w:rPr>
          <w:rFonts w:ascii="Times New Roman" w:hAnsi="Times New Roman" w:cs="Times New Roman"/>
          <w:lang w:val="en-US"/>
        </w:rPr>
        <w:t xml:space="preserve">-minute video of the </w:t>
      </w:r>
      <w:r w:rsidRPr="008E4127">
        <w:rPr>
          <w:rFonts w:ascii="Times New Roman" w:hAnsi="Times New Roman" w:cs="Times New Roman"/>
          <w:lang w:val="en-US"/>
        </w:rPr>
        <w:t>left</w:t>
      </w:r>
      <w:r w:rsidRPr="008E4127">
        <w:rPr>
          <w:rFonts w:ascii="Times New Roman" w:hAnsi="Times New Roman" w:cs="Times New Roman"/>
          <w:lang w:val="en-US"/>
        </w:rPr>
        <w:t xml:space="preserve"> brachial artery was taken,</w:t>
      </w:r>
      <w:r>
        <w:rPr>
          <w:rFonts w:ascii="Times New Roman" w:hAnsi="Times New Roman" w:cs="Times New Roman"/>
          <w:lang w:val="en-US"/>
        </w:rPr>
        <w:t xml:space="preserve"> </w:t>
      </w:r>
      <w:r w:rsidRPr="008E4127">
        <w:rPr>
          <w:rFonts w:ascii="Times New Roman" w:hAnsi="Times New Roman" w:cs="Times New Roman"/>
          <w:lang w:val="en-US"/>
        </w:rPr>
        <w:t xml:space="preserve">starting </w:t>
      </w:r>
      <w:r w:rsidRPr="008E4127">
        <w:rPr>
          <w:rFonts w:ascii="Times New Roman" w:hAnsi="Times New Roman" w:cs="Times New Roman"/>
          <w:lang w:val="en-US"/>
        </w:rPr>
        <w:t>15</w:t>
      </w:r>
      <w:r w:rsidRPr="008E4127">
        <w:rPr>
          <w:rFonts w:ascii="Times New Roman" w:hAnsi="Times New Roman" w:cs="Times New Roman"/>
          <w:lang w:val="en-US"/>
        </w:rPr>
        <w:t xml:space="preserve"> seconds before the cuff was deflated (at 4:</w:t>
      </w:r>
      <w:r w:rsidRPr="008E4127">
        <w:rPr>
          <w:rFonts w:ascii="Times New Roman" w:hAnsi="Times New Roman" w:cs="Times New Roman"/>
          <w:lang w:val="en-US"/>
        </w:rPr>
        <w:t>45</w:t>
      </w:r>
      <w:r w:rsidRPr="008E4127">
        <w:rPr>
          <w:rFonts w:ascii="Times New Roman" w:hAnsi="Times New Roman" w:cs="Times New Roman"/>
          <w:lang w:val="en-US"/>
        </w:rPr>
        <w:t xml:space="preserve"> minutes of the 5-minute protocol) and</w:t>
      </w:r>
      <w:r w:rsidRPr="008E4127">
        <w:rPr>
          <w:rFonts w:ascii="Times New Roman" w:hAnsi="Times New Roman" w:cs="Times New Roman"/>
          <w:lang w:val="en-US"/>
        </w:rPr>
        <w:t xml:space="preserve"> </w:t>
      </w:r>
      <w:r w:rsidRPr="008E4127">
        <w:rPr>
          <w:rFonts w:ascii="Times New Roman" w:hAnsi="Times New Roman" w:cs="Times New Roman"/>
          <w:lang w:val="en-US"/>
        </w:rPr>
        <w:t xml:space="preserve">extended </w:t>
      </w:r>
      <w:r w:rsidRPr="008E4127">
        <w:rPr>
          <w:rFonts w:ascii="Times New Roman" w:hAnsi="Times New Roman" w:cs="Times New Roman"/>
          <w:lang w:val="en-US"/>
        </w:rPr>
        <w:t xml:space="preserve">one </w:t>
      </w:r>
      <w:r w:rsidRPr="008E4127">
        <w:rPr>
          <w:rFonts w:ascii="Times New Roman" w:hAnsi="Times New Roman" w:cs="Times New Roman"/>
          <w:lang w:val="en-US"/>
        </w:rPr>
        <w:t>minute</w:t>
      </w:r>
      <w:r w:rsidRPr="008E4127">
        <w:rPr>
          <w:rFonts w:ascii="Times New Roman" w:hAnsi="Times New Roman" w:cs="Times New Roman"/>
          <w:lang w:val="en-US"/>
        </w:rPr>
        <w:t xml:space="preserve"> and seventeen seconds </w:t>
      </w:r>
      <w:r w:rsidRPr="008E4127">
        <w:rPr>
          <w:rFonts w:ascii="Times New Roman" w:hAnsi="Times New Roman" w:cs="Times New Roman"/>
          <w:lang w:val="en-US"/>
        </w:rPr>
        <w:t xml:space="preserve">after the cuff was deflated to </w:t>
      </w:r>
      <w:r w:rsidRPr="008E4127">
        <w:rPr>
          <w:rFonts w:ascii="Times New Roman" w:hAnsi="Times New Roman" w:cs="Times New Roman"/>
          <w:lang w:val="en-US"/>
        </w:rPr>
        <w:lastRenderedPageBreak/>
        <w:t>capture the vessel’s response to</w:t>
      </w:r>
      <w:r w:rsidRPr="008E4127">
        <w:rPr>
          <w:rFonts w:ascii="Times New Roman" w:hAnsi="Times New Roman" w:cs="Times New Roman"/>
          <w:lang w:val="en-US"/>
        </w:rPr>
        <w:t xml:space="preserve"> </w:t>
      </w:r>
      <w:r w:rsidRPr="008E4127">
        <w:rPr>
          <w:rFonts w:ascii="Times New Roman" w:hAnsi="Times New Roman" w:cs="Times New Roman"/>
          <w:lang w:val="en-US"/>
        </w:rPr>
        <w:t>blood flow re-establishment.</w:t>
      </w:r>
      <w:r w:rsidRPr="008E4127">
        <w:rPr>
          <w:rFonts w:ascii="Times New Roman" w:hAnsi="Times New Roman" w:cs="Times New Roman"/>
          <w:lang w:val="en-US"/>
        </w:rPr>
        <w:t xml:space="preserve"> </w:t>
      </w:r>
      <w:r w:rsidRPr="008E4127">
        <w:rPr>
          <w:rFonts w:ascii="Times New Roman" w:hAnsi="Times New Roman" w:cs="Times New Roman"/>
          <w:lang w:val="en-US"/>
        </w:rPr>
        <w:t xml:space="preserve">Changes in FMD response were analyzed and compared between the pre and post </w:t>
      </w:r>
      <w:r w:rsidRPr="008E4127">
        <w:rPr>
          <w:rFonts w:ascii="Times New Roman" w:hAnsi="Times New Roman" w:cs="Times New Roman"/>
          <w:lang w:val="en-US"/>
        </w:rPr>
        <w:t xml:space="preserve">sugar or salt </w:t>
      </w:r>
      <w:r w:rsidRPr="008E4127">
        <w:rPr>
          <w:rFonts w:ascii="Times New Roman" w:hAnsi="Times New Roman" w:cs="Times New Roman"/>
          <w:lang w:val="en-US"/>
        </w:rPr>
        <w:t xml:space="preserve">conditions. </w:t>
      </w:r>
    </w:p>
    <w:p w14:paraId="24E3BF31" w14:textId="79ED965C" w:rsidR="008E4127" w:rsidRPr="008E4127" w:rsidRDefault="008E4127" w:rsidP="00652657">
      <w:pPr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lang w:val="en-US"/>
        </w:rPr>
      </w:pPr>
      <w:r w:rsidRPr="008E4127">
        <w:rPr>
          <w:rFonts w:ascii="Times New Roman" w:hAnsi="Times New Roman" w:cs="Times New Roman"/>
          <w:lang w:val="en-US"/>
        </w:rPr>
        <w:t>F</w:t>
      </w:r>
      <w:r w:rsidRPr="008E4127">
        <w:rPr>
          <w:rFonts w:ascii="Times New Roman" w:hAnsi="Times New Roman" w:cs="Times New Roman"/>
          <w:lang w:val="en-US"/>
        </w:rPr>
        <w:t>irst, end diastolic diameter (in millimeters) was averaged between</w:t>
      </w:r>
      <w:r w:rsidRPr="008E4127">
        <w:rPr>
          <w:rFonts w:ascii="Times New Roman" w:hAnsi="Times New Roman" w:cs="Times New Roman"/>
          <w:lang w:val="en-US"/>
        </w:rPr>
        <w:t xml:space="preserve"> </w:t>
      </w:r>
      <w:r w:rsidRPr="008E4127">
        <w:rPr>
          <w:rFonts w:ascii="Times New Roman" w:hAnsi="Times New Roman" w:cs="Times New Roman"/>
          <w:lang w:val="en-US"/>
        </w:rPr>
        <w:t>20 and 30</w:t>
      </w:r>
      <w:r w:rsidRPr="008E4127">
        <w:rPr>
          <w:rFonts w:ascii="Times New Roman" w:hAnsi="Times New Roman" w:cs="Times New Roman"/>
          <w:lang w:val="en-US"/>
        </w:rPr>
        <w:t xml:space="preserve"> </w:t>
      </w:r>
      <w:r w:rsidRPr="008E4127">
        <w:rPr>
          <w:rFonts w:ascii="Times New Roman" w:hAnsi="Times New Roman" w:cs="Times New Roman"/>
          <w:lang w:val="en-US"/>
        </w:rPr>
        <w:t>cardiac cycles during rest (</w:t>
      </w:r>
      <w:proofErr w:type="spellStart"/>
      <w:r w:rsidRPr="008E4127">
        <w:rPr>
          <w:rFonts w:ascii="Times New Roman" w:hAnsi="Times New Roman" w:cs="Times New Roman"/>
          <w:lang w:val="en-US"/>
        </w:rPr>
        <w:t>FMD</w:t>
      </w:r>
      <w:r w:rsidRPr="008E4127">
        <w:rPr>
          <w:rFonts w:ascii="Times New Roman" w:hAnsi="Times New Roman" w:cs="Times New Roman"/>
          <w:sz w:val="16"/>
          <w:szCs w:val="16"/>
          <w:lang w:val="en-US"/>
        </w:rPr>
        <w:t>min</w:t>
      </w:r>
      <w:proofErr w:type="spellEnd"/>
      <w:r w:rsidRPr="008E4127">
        <w:rPr>
          <w:rFonts w:ascii="Times New Roman" w:hAnsi="Times New Roman" w:cs="Times New Roman"/>
          <w:lang w:val="en-US"/>
        </w:rPr>
        <w:t>), and was compared to the average of the three</w:t>
      </w:r>
      <w:r>
        <w:rPr>
          <w:rFonts w:ascii="Times New Roman" w:hAnsi="Times New Roman" w:cs="Times New Roman"/>
          <w:lang w:val="en-US"/>
        </w:rPr>
        <w:t xml:space="preserve"> </w:t>
      </w:r>
      <w:r w:rsidRPr="008E4127">
        <w:rPr>
          <w:rFonts w:ascii="Times New Roman" w:hAnsi="Times New Roman" w:cs="Times New Roman"/>
          <w:lang w:val="en-US"/>
        </w:rPr>
        <w:t>maximum end diastolic diameters upon cuff deflation (</w:t>
      </w:r>
      <w:proofErr w:type="spellStart"/>
      <w:r w:rsidRPr="008E4127">
        <w:rPr>
          <w:rFonts w:ascii="Times New Roman" w:hAnsi="Times New Roman" w:cs="Times New Roman"/>
          <w:lang w:val="en-US"/>
        </w:rPr>
        <w:t>FMD</w:t>
      </w:r>
      <w:r w:rsidRPr="008E4127">
        <w:rPr>
          <w:rFonts w:ascii="Times New Roman" w:hAnsi="Times New Roman" w:cs="Times New Roman"/>
          <w:sz w:val="16"/>
          <w:szCs w:val="16"/>
          <w:lang w:val="en-US"/>
        </w:rPr>
        <w:t>max</w:t>
      </w:r>
      <w:proofErr w:type="spellEnd"/>
      <w:r w:rsidRPr="008E4127">
        <w:rPr>
          <w:rFonts w:ascii="Times New Roman" w:hAnsi="Times New Roman" w:cs="Times New Roman"/>
          <w:lang w:val="en-US"/>
        </w:rPr>
        <w:t>). Subsequently, calculations were</w:t>
      </w:r>
      <w:r w:rsidRPr="008E4127">
        <w:rPr>
          <w:rFonts w:ascii="Times New Roman" w:hAnsi="Times New Roman" w:cs="Times New Roman"/>
          <w:lang w:val="en-US"/>
        </w:rPr>
        <w:t xml:space="preserve"> </w:t>
      </w:r>
      <w:r w:rsidRPr="008E4127">
        <w:rPr>
          <w:rFonts w:ascii="Times New Roman" w:hAnsi="Times New Roman" w:cs="Times New Roman"/>
          <w:lang w:val="en-US"/>
        </w:rPr>
        <w:t xml:space="preserve">carried out to determine the absolute and relative difference between </w:t>
      </w:r>
      <w:proofErr w:type="spellStart"/>
      <w:r w:rsidRPr="008E4127">
        <w:rPr>
          <w:rFonts w:ascii="Times New Roman" w:hAnsi="Times New Roman" w:cs="Times New Roman"/>
          <w:lang w:val="en-US"/>
        </w:rPr>
        <w:t>FMD</w:t>
      </w:r>
      <w:r w:rsidRPr="008E4127">
        <w:rPr>
          <w:rFonts w:ascii="Times New Roman" w:hAnsi="Times New Roman" w:cs="Times New Roman"/>
          <w:sz w:val="16"/>
          <w:szCs w:val="16"/>
          <w:lang w:val="en-US"/>
        </w:rPr>
        <w:t>min</w:t>
      </w:r>
      <w:proofErr w:type="spellEnd"/>
      <w:r w:rsidRPr="008E4127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8E4127">
        <w:rPr>
          <w:rFonts w:ascii="Times New Roman" w:hAnsi="Times New Roman" w:cs="Times New Roman"/>
          <w:lang w:val="en-US"/>
        </w:rPr>
        <w:t xml:space="preserve">and </w:t>
      </w:r>
      <w:proofErr w:type="spellStart"/>
      <w:r w:rsidRPr="008E4127">
        <w:rPr>
          <w:rFonts w:ascii="Times New Roman" w:hAnsi="Times New Roman" w:cs="Times New Roman"/>
          <w:lang w:val="en-US"/>
        </w:rPr>
        <w:t>FMD</w:t>
      </w:r>
      <w:r w:rsidRPr="008E4127">
        <w:rPr>
          <w:rFonts w:ascii="Times New Roman" w:hAnsi="Times New Roman" w:cs="Times New Roman"/>
          <w:sz w:val="16"/>
          <w:szCs w:val="16"/>
          <w:lang w:val="en-US"/>
        </w:rPr>
        <w:t>max</w:t>
      </w:r>
      <w:proofErr w:type="spellEnd"/>
      <w:r w:rsidRPr="008E4127">
        <w:rPr>
          <w:rFonts w:ascii="Times New Roman" w:hAnsi="Times New Roman" w:cs="Times New Roman"/>
          <w:lang w:val="en-US"/>
        </w:rPr>
        <w:t>. The</w:t>
      </w:r>
      <w:r w:rsidRPr="008E4127">
        <w:rPr>
          <w:rFonts w:ascii="Times New Roman" w:hAnsi="Times New Roman" w:cs="Times New Roman"/>
          <w:lang w:val="en-US"/>
        </w:rPr>
        <w:t xml:space="preserve"> </w:t>
      </w:r>
      <w:r w:rsidRPr="008E4127">
        <w:rPr>
          <w:rFonts w:ascii="Times New Roman" w:hAnsi="Times New Roman" w:cs="Times New Roman"/>
          <w:lang w:val="en-US"/>
        </w:rPr>
        <w:t xml:space="preserve">absolute difference was calculated using the equation </w:t>
      </w:r>
      <w:proofErr w:type="spellStart"/>
      <w:r w:rsidRPr="008E4127">
        <w:rPr>
          <w:rFonts w:ascii="Times New Roman" w:hAnsi="Times New Roman" w:cs="Times New Roman"/>
          <w:lang w:val="en-US"/>
        </w:rPr>
        <w:t>FMD</w:t>
      </w:r>
      <w:r w:rsidRPr="008E4127">
        <w:rPr>
          <w:rFonts w:ascii="Times New Roman" w:hAnsi="Times New Roman" w:cs="Times New Roman"/>
          <w:sz w:val="16"/>
          <w:szCs w:val="16"/>
          <w:lang w:val="en-US"/>
        </w:rPr>
        <w:t>max</w:t>
      </w:r>
      <w:proofErr w:type="spellEnd"/>
      <w:r w:rsidRPr="008E4127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8E4127">
        <w:rPr>
          <w:rFonts w:ascii="Times New Roman" w:hAnsi="Times New Roman" w:cs="Times New Roman"/>
          <w:lang w:val="en-US"/>
        </w:rPr>
        <w:t xml:space="preserve">– </w:t>
      </w:r>
      <w:proofErr w:type="spellStart"/>
      <w:r w:rsidRPr="008E4127">
        <w:rPr>
          <w:rFonts w:ascii="Times New Roman" w:hAnsi="Times New Roman" w:cs="Times New Roman"/>
          <w:lang w:val="en-US"/>
        </w:rPr>
        <w:t>FMD</w:t>
      </w:r>
      <w:r w:rsidRPr="008E4127">
        <w:rPr>
          <w:rFonts w:ascii="Times New Roman" w:hAnsi="Times New Roman" w:cs="Times New Roman"/>
          <w:sz w:val="16"/>
          <w:szCs w:val="16"/>
          <w:lang w:val="en-US"/>
        </w:rPr>
        <w:t>min</w:t>
      </w:r>
      <w:proofErr w:type="spellEnd"/>
      <w:r w:rsidRPr="008E4127">
        <w:rPr>
          <w:rFonts w:ascii="Times New Roman" w:hAnsi="Times New Roman" w:cs="Times New Roman"/>
          <w:lang w:val="en-US"/>
        </w:rPr>
        <w:t>, while the relative</w:t>
      </w:r>
      <w:r w:rsidRPr="008E4127">
        <w:rPr>
          <w:rFonts w:ascii="Times New Roman" w:hAnsi="Times New Roman" w:cs="Times New Roman"/>
          <w:lang w:val="en-US"/>
        </w:rPr>
        <w:t xml:space="preserve"> </w:t>
      </w:r>
      <w:r w:rsidRPr="008E4127">
        <w:rPr>
          <w:rFonts w:ascii="Times New Roman" w:hAnsi="Times New Roman" w:cs="Times New Roman"/>
          <w:lang w:val="en-US"/>
        </w:rPr>
        <w:t>difference was calculated using the equation [(</w:t>
      </w:r>
      <w:proofErr w:type="spellStart"/>
      <w:r w:rsidRPr="008E4127">
        <w:rPr>
          <w:rFonts w:ascii="Times New Roman" w:hAnsi="Times New Roman" w:cs="Times New Roman"/>
          <w:lang w:val="en-US"/>
        </w:rPr>
        <w:t>FMD</w:t>
      </w:r>
      <w:r w:rsidRPr="008E4127">
        <w:rPr>
          <w:rFonts w:ascii="Times New Roman" w:hAnsi="Times New Roman" w:cs="Times New Roman"/>
          <w:sz w:val="16"/>
          <w:szCs w:val="16"/>
          <w:lang w:val="en-US"/>
        </w:rPr>
        <w:t>max</w:t>
      </w:r>
      <w:proofErr w:type="spellEnd"/>
      <w:r w:rsidRPr="008E4127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8E4127">
        <w:rPr>
          <w:rFonts w:ascii="Times New Roman" w:hAnsi="Times New Roman" w:cs="Times New Roman"/>
          <w:lang w:val="en-US"/>
        </w:rPr>
        <w:t xml:space="preserve">– </w:t>
      </w:r>
      <w:proofErr w:type="spellStart"/>
      <w:r w:rsidRPr="008E4127">
        <w:rPr>
          <w:rFonts w:ascii="Times New Roman" w:hAnsi="Times New Roman" w:cs="Times New Roman"/>
          <w:lang w:val="en-US"/>
        </w:rPr>
        <w:t>FMD</w:t>
      </w:r>
      <w:r w:rsidRPr="008E4127">
        <w:rPr>
          <w:rFonts w:ascii="Times New Roman" w:hAnsi="Times New Roman" w:cs="Times New Roman"/>
          <w:sz w:val="16"/>
          <w:szCs w:val="16"/>
          <w:lang w:val="en-US"/>
        </w:rPr>
        <w:t>min</w:t>
      </w:r>
      <w:proofErr w:type="spellEnd"/>
      <w:r w:rsidRPr="008E4127">
        <w:rPr>
          <w:rFonts w:ascii="Times New Roman" w:hAnsi="Times New Roman" w:cs="Times New Roman"/>
          <w:lang w:val="en-US"/>
        </w:rPr>
        <w:t xml:space="preserve">) / </w:t>
      </w:r>
      <w:proofErr w:type="spellStart"/>
      <w:r w:rsidRPr="008E4127">
        <w:rPr>
          <w:rFonts w:ascii="Times New Roman" w:hAnsi="Times New Roman" w:cs="Times New Roman"/>
          <w:lang w:val="en-US"/>
        </w:rPr>
        <w:t>FMD</w:t>
      </w:r>
      <w:r w:rsidRPr="008E4127">
        <w:rPr>
          <w:rFonts w:ascii="Times New Roman" w:hAnsi="Times New Roman" w:cs="Times New Roman"/>
          <w:sz w:val="16"/>
          <w:szCs w:val="16"/>
          <w:lang w:val="en-US"/>
        </w:rPr>
        <w:t>min</w:t>
      </w:r>
      <w:proofErr w:type="spellEnd"/>
      <w:r w:rsidRPr="008E4127">
        <w:rPr>
          <w:rFonts w:ascii="Times New Roman" w:hAnsi="Times New Roman" w:cs="Times New Roman"/>
          <w:lang w:val="en-US"/>
        </w:rPr>
        <w:t>] x 100%. These values</w:t>
      </w:r>
      <w:r w:rsidRPr="008E4127">
        <w:rPr>
          <w:rFonts w:ascii="Times New Roman" w:hAnsi="Times New Roman" w:cs="Times New Roman"/>
          <w:lang w:val="en-US"/>
        </w:rPr>
        <w:t xml:space="preserve"> </w:t>
      </w:r>
      <w:r w:rsidRPr="008E4127">
        <w:rPr>
          <w:rFonts w:ascii="Times New Roman" w:hAnsi="Times New Roman" w:cs="Times New Roman"/>
          <w:lang w:val="en-US"/>
        </w:rPr>
        <w:t>were calculated for both the pre and post supplementation conditions. Baseline end diastoli</w:t>
      </w:r>
      <w:r w:rsidRPr="008E4127">
        <w:rPr>
          <w:rFonts w:ascii="Times New Roman" w:hAnsi="Times New Roman" w:cs="Times New Roman"/>
          <w:lang w:val="en-US"/>
        </w:rPr>
        <w:t xml:space="preserve">c </w:t>
      </w:r>
      <w:r w:rsidRPr="008E4127">
        <w:rPr>
          <w:rFonts w:ascii="Times New Roman" w:hAnsi="Times New Roman" w:cs="Times New Roman"/>
          <w:lang w:val="en-US"/>
        </w:rPr>
        <w:t xml:space="preserve">diameters at rest were recorded both pre and post </w:t>
      </w:r>
      <w:r w:rsidRPr="008E4127">
        <w:rPr>
          <w:rFonts w:ascii="Times New Roman" w:hAnsi="Times New Roman" w:cs="Times New Roman"/>
          <w:lang w:val="en-US"/>
        </w:rPr>
        <w:t>sugar or salt ingestion</w:t>
      </w:r>
      <w:r w:rsidRPr="008E4127">
        <w:rPr>
          <w:rFonts w:ascii="Times New Roman" w:hAnsi="Times New Roman" w:cs="Times New Roman"/>
          <w:lang w:val="en-US"/>
        </w:rPr>
        <w:t>, as this value may have changed</w:t>
      </w:r>
      <w:r w:rsidRPr="008E4127">
        <w:rPr>
          <w:rFonts w:ascii="Times New Roman" w:hAnsi="Times New Roman" w:cs="Times New Roman"/>
          <w:lang w:val="en-US"/>
        </w:rPr>
        <w:t xml:space="preserve"> </w:t>
      </w:r>
      <w:r w:rsidRPr="008E4127">
        <w:rPr>
          <w:rFonts w:ascii="Times New Roman" w:hAnsi="Times New Roman" w:cs="Times New Roman"/>
          <w:lang w:val="en-US"/>
        </w:rPr>
        <w:t xml:space="preserve">upon </w:t>
      </w:r>
      <w:r w:rsidRPr="008E4127">
        <w:rPr>
          <w:rFonts w:ascii="Times New Roman" w:hAnsi="Times New Roman" w:cs="Times New Roman"/>
          <w:lang w:val="en-US"/>
        </w:rPr>
        <w:t xml:space="preserve">ingestion of sugar or salt </w:t>
      </w:r>
      <w:r w:rsidRPr="008E4127">
        <w:rPr>
          <w:rFonts w:ascii="Times New Roman" w:hAnsi="Times New Roman" w:cs="Times New Roman"/>
          <w:lang w:val="en-US"/>
        </w:rPr>
        <w:t>and needed to be controlled for during the</w:t>
      </w:r>
      <w:r w:rsidRPr="008E4127">
        <w:rPr>
          <w:rFonts w:ascii="Times New Roman" w:hAnsi="Times New Roman" w:cs="Times New Roman"/>
          <w:lang w:val="en-US"/>
        </w:rPr>
        <w:t xml:space="preserve"> </w:t>
      </w:r>
      <w:r w:rsidRPr="008E4127">
        <w:rPr>
          <w:rFonts w:ascii="Times New Roman" w:hAnsi="Times New Roman" w:cs="Times New Roman"/>
          <w:lang w:val="en-US"/>
        </w:rPr>
        <w:t>analysis.</w:t>
      </w:r>
    </w:p>
    <w:p w14:paraId="7F6B491D" w14:textId="77777777" w:rsidR="00364C01" w:rsidRPr="00364C01" w:rsidRDefault="00364C01" w:rsidP="0065265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US"/>
        </w:rPr>
      </w:pPr>
    </w:p>
    <w:p w14:paraId="5D6A8D73" w14:textId="77777777" w:rsidR="00364C01" w:rsidRDefault="00364C01" w:rsidP="0065265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  <w:lang w:val="en-US"/>
        </w:rPr>
      </w:pPr>
    </w:p>
    <w:p w14:paraId="0A7F79AE" w14:textId="77777777" w:rsidR="00364C01" w:rsidRPr="00364C01" w:rsidRDefault="00364C01" w:rsidP="0065265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  <w:lang w:val="en-US"/>
        </w:rPr>
      </w:pPr>
    </w:p>
    <w:p w14:paraId="01C99342" w14:textId="1B6CB598" w:rsidR="00767CB9" w:rsidRPr="00124A6B" w:rsidRDefault="00767CB9" w:rsidP="00F057F4">
      <w:pPr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lang w:val="en-US"/>
        </w:rPr>
      </w:pPr>
    </w:p>
    <w:sectPr w:rsidR="00767CB9" w:rsidRPr="00124A6B" w:rsidSect="00446A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B40BC"/>
    <w:multiLevelType w:val="multilevel"/>
    <w:tmpl w:val="2EE20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526676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73"/>
    <w:rsid w:val="00013AC1"/>
    <w:rsid w:val="00124A6B"/>
    <w:rsid w:val="0020403B"/>
    <w:rsid w:val="002D2916"/>
    <w:rsid w:val="00364C01"/>
    <w:rsid w:val="00446A59"/>
    <w:rsid w:val="00473A67"/>
    <w:rsid w:val="00495073"/>
    <w:rsid w:val="00531697"/>
    <w:rsid w:val="005D6379"/>
    <w:rsid w:val="0064317B"/>
    <w:rsid w:val="00652657"/>
    <w:rsid w:val="007529AB"/>
    <w:rsid w:val="00767CB9"/>
    <w:rsid w:val="007A6FC3"/>
    <w:rsid w:val="00803655"/>
    <w:rsid w:val="00823EE7"/>
    <w:rsid w:val="008E4127"/>
    <w:rsid w:val="00915348"/>
    <w:rsid w:val="00975D36"/>
    <w:rsid w:val="009E261C"/>
    <w:rsid w:val="00A45048"/>
    <w:rsid w:val="00AB7D95"/>
    <w:rsid w:val="00AF4528"/>
    <w:rsid w:val="00B56CA2"/>
    <w:rsid w:val="00B65C74"/>
    <w:rsid w:val="00C90CEF"/>
    <w:rsid w:val="00C938EF"/>
    <w:rsid w:val="00DF1A76"/>
    <w:rsid w:val="00E231DD"/>
    <w:rsid w:val="00E25A4E"/>
    <w:rsid w:val="00F0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694C9"/>
  <w15:chartTrackingRefBased/>
  <w15:docId w15:val="{5F86BE5F-73BE-734D-89CA-44BA26F0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Jeeva Gill</dc:creator>
  <cp:keywords/>
  <dc:description/>
  <cp:lastModifiedBy>Jeeva Gill</cp:lastModifiedBy>
  <cp:revision>24</cp:revision>
  <dcterms:created xsi:type="dcterms:W3CDTF">2023-01-21T17:18:00Z</dcterms:created>
  <dcterms:modified xsi:type="dcterms:W3CDTF">2023-01-27T05:15:00Z</dcterms:modified>
</cp:coreProperties>
</file>